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44BC2">
        <w:rPr>
          <w:sz w:val="28"/>
        </w:rPr>
        <w:t>672</w:t>
      </w:r>
      <w:r>
        <w:rPr>
          <w:sz w:val="28"/>
        </w:rPr>
        <w:t>-220</w:t>
      </w:r>
      <w:r w:rsidR="00644BC2">
        <w:rPr>
          <w:sz w:val="28"/>
        </w:rPr>
        <w:t>2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C72B3" w:rsidR="005C72B3">
        <w:rPr>
          <w:sz w:val="28"/>
        </w:rPr>
        <w:t xml:space="preserve"> </w:t>
      </w:r>
      <w:r w:rsidR="00F378AA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25 июня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</w:t>
      </w:r>
      <w:r w:rsidR="00892EB3">
        <w:rPr>
          <w:sz w:val="28"/>
        </w:rPr>
        <w:t>Нягань</w:t>
      </w:r>
      <w:r w:rsidR="00892EB3">
        <w:rPr>
          <w:sz w:val="28"/>
        </w:rPr>
        <w:t xml:space="preserve">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="00644BC2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644BC2">
        <w:rPr>
          <w:sz w:val="28"/>
        </w:rPr>
        <w:t>Веретенникова Виктора Валерьевича</w:t>
      </w:r>
      <w:r w:rsidRPr="00675A84" w:rsidR="006018FD">
        <w:rPr>
          <w:sz w:val="28"/>
        </w:rPr>
        <w:t xml:space="preserve">, </w:t>
      </w:r>
      <w:r w:rsidR="00F378AA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уроженца </w:t>
      </w:r>
      <w:r w:rsidR="00F378AA">
        <w:rPr>
          <w:sz w:val="28"/>
        </w:rPr>
        <w:t>*</w:t>
      </w:r>
      <w:r w:rsidRPr="00675A84" w:rsidR="006018FD">
        <w:rPr>
          <w:sz w:val="28"/>
        </w:rPr>
        <w:t xml:space="preserve">, гражданина Российской Федерации, </w:t>
      </w:r>
      <w:r w:rsidR="00F378AA">
        <w:rPr>
          <w:sz w:val="28"/>
        </w:rPr>
        <w:t>*</w:t>
      </w:r>
      <w:r w:rsidRPr="00675A84" w:rsidR="006018FD">
        <w:rPr>
          <w:sz w:val="28"/>
        </w:rPr>
        <w:t xml:space="preserve">, работающего </w:t>
      </w:r>
      <w:r w:rsidR="00F378AA">
        <w:rPr>
          <w:sz w:val="28"/>
        </w:rPr>
        <w:t>*</w:t>
      </w:r>
      <w:r w:rsidR="006018FD">
        <w:rPr>
          <w:sz w:val="28"/>
        </w:rPr>
        <w:t xml:space="preserve"> </w:t>
      </w:r>
      <w:r w:rsidRPr="00675A84" w:rsidR="006018FD">
        <w:rPr>
          <w:sz w:val="28"/>
        </w:rPr>
        <w:t>,</w:t>
      </w:r>
      <w:r w:rsidRPr="00675A84" w:rsidR="006018FD">
        <w:rPr>
          <w:sz w:val="28"/>
        </w:rPr>
        <w:t xml:space="preserve"> проживающего по адресу: ХМАО-Югра, </w:t>
      </w:r>
      <w:r w:rsidR="00F378AA">
        <w:rPr>
          <w:sz w:val="28"/>
        </w:rPr>
        <w:t>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="00892EB3">
        <w:rPr>
          <w:color w:val="FF0000"/>
          <w:sz w:val="28"/>
        </w:rPr>
        <w:t xml:space="preserve"> года </w:t>
      </w:r>
      <w:r w:rsidR="00644BC2">
        <w:rPr>
          <w:sz w:val="28"/>
        </w:rPr>
        <w:t>Веретенников В.В</w:t>
      </w:r>
      <w:r w:rsidR="00765F3B">
        <w:rPr>
          <w:sz w:val="28"/>
        </w:rPr>
        <w:t xml:space="preserve">., являясь должностным лицом – </w:t>
      </w:r>
      <w:r w:rsidR="00F378AA">
        <w:rPr>
          <w:sz w:val="28"/>
        </w:rPr>
        <w:t>*</w:t>
      </w:r>
      <w:r w:rsidR="00765F3B">
        <w:rPr>
          <w:sz w:val="28"/>
        </w:rPr>
        <w:t xml:space="preserve"> </w:t>
      </w:r>
      <w:r w:rsidR="00F378AA">
        <w:rPr>
          <w:sz w:val="28"/>
        </w:rPr>
        <w:t>*</w:t>
      </w:r>
      <w:r w:rsidR="00765F3B">
        <w:rPr>
          <w:sz w:val="28"/>
        </w:rPr>
        <w:t xml:space="preserve">, зарегистрированного по адресу: ХМАО-Югра, </w:t>
      </w:r>
      <w:r w:rsidR="00F378AA">
        <w:rPr>
          <w:sz w:val="28"/>
        </w:rPr>
        <w:t>*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="00F378AA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>о страховом стаже за 202</w:t>
      </w:r>
      <w:r>
        <w:rPr>
          <w:sz w:val="28"/>
        </w:rPr>
        <w:t>4</w:t>
      </w:r>
      <w:r>
        <w:rPr>
          <w:sz w:val="28"/>
        </w:rPr>
        <w:t xml:space="preserve">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F00854" w:rsidRPr="00F00854" w:rsidP="00F00854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B30A32">
        <w:rPr>
          <w:rFonts w:ascii="Times New Roman" w:hAnsi="Times New Roman"/>
          <w:sz w:val="28"/>
        </w:rPr>
        <w:t xml:space="preserve">Должностное лицо </w:t>
      </w:r>
      <w:r w:rsidR="00644BC2">
        <w:rPr>
          <w:rFonts w:ascii="Times New Roman" w:hAnsi="Times New Roman"/>
          <w:sz w:val="28"/>
        </w:rPr>
        <w:t>Веретенников В.В</w:t>
      </w:r>
      <w:r w:rsidRPr="00B30A32">
        <w:rPr>
          <w:rFonts w:ascii="Times New Roman" w:hAnsi="Times New Roman"/>
          <w:sz w:val="28"/>
        </w:rPr>
        <w:t xml:space="preserve">., </w:t>
      </w:r>
      <w:r w:rsidRPr="00F00854">
        <w:rPr>
          <w:rFonts w:ascii="Times New Roman" w:hAnsi="Times New Roman"/>
          <w:color w:val="auto"/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703E9B" w:rsidRPr="00F00854" w:rsidP="00F00854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F00854">
        <w:rPr>
          <w:rFonts w:ascii="Times New Roman" w:hAnsi="Times New Roman"/>
          <w:color w:val="auto"/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rFonts w:ascii="Times New Roman" w:hAnsi="Times New Roman"/>
          <w:sz w:val="28"/>
        </w:rPr>
        <w:t>Веретенникова В.В</w:t>
      </w:r>
      <w:r w:rsidRPr="00F00854" w:rsidR="00765F3B">
        <w:rPr>
          <w:rFonts w:ascii="Times New Roman" w:hAnsi="Times New Roman"/>
          <w:color w:val="auto"/>
          <w:sz w:val="28"/>
        </w:rPr>
        <w:t>.</w:t>
      </w:r>
      <w:r w:rsidRPr="00F00854"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F00854">
        <w:rPr>
          <w:rFonts w:ascii="Times New Roman" w:hAnsi="Times New Roman"/>
          <w:sz w:val="28"/>
        </w:rPr>
        <w:t>Веретенникова В.В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позднее 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F00854">
        <w:rPr>
          <w:color w:val="FF0000"/>
          <w:sz w:val="28"/>
        </w:rPr>
        <w:t>08 апреля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 xml:space="preserve">года выявлены </w:t>
      </w:r>
      <w:r w:rsidR="00F00854">
        <w:rPr>
          <w:color w:val="auto"/>
          <w:sz w:val="28"/>
        </w:rPr>
        <w:t>несоответствия в представленных страхователях сведениях о страховом стаже за 2023 и за 2024 года, в которых учтен страховой стаж</w:t>
      </w:r>
      <w:r w:rsidR="00D839B8">
        <w:rPr>
          <w:color w:val="auto"/>
          <w:sz w:val="28"/>
        </w:rPr>
        <w:t xml:space="preserve"> </w:t>
      </w:r>
      <w:r w:rsidR="00F00854">
        <w:rPr>
          <w:color w:val="auto"/>
          <w:sz w:val="28"/>
        </w:rPr>
        <w:t xml:space="preserve">2023 года с кодом территориальных условий и нет кода территориальных условий в страховом стаже в 2024 году </w:t>
      </w:r>
      <w:r w:rsidR="00D839B8">
        <w:rPr>
          <w:color w:val="auto"/>
          <w:sz w:val="28"/>
        </w:rPr>
        <w:t xml:space="preserve">в отношении </w:t>
      </w:r>
      <w:r w:rsidR="00F74497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D453CF">
        <w:rPr>
          <w:color w:val="FF0000"/>
          <w:sz w:val="28"/>
        </w:rPr>
        <w:t>13 февраля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одного застрахованного лица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644BC2">
        <w:rPr>
          <w:sz w:val="28"/>
        </w:rPr>
        <w:t>Веретенников В.В</w:t>
      </w:r>
      <w:r w:rsidR="00765F3B">
        <w:rPr>
          <w:sz w:val="28"/>
        </w:rPr>
        <w:t xml:space="preserve">., являясь должностным лицом </w:t>
      </w:r>
      <w:r w:rsidR="00765F3B">
        <w:rPr>
          <w:sz w:val="28"/>
        </w:rPr>
        <w:t xml:space="preserve">–  </w:t>
      </w:r>
      <w:r w:rsidR="00F378AA">
        <w:rPr>
          <w:sz w:val="28"/>
        </w:rPr>
        <w:t>*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F00854">
        <w:rPr>
          <w:sz w:val="28"/>
        </w:rPr>
        <w:t>Веретенникова В.В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F378AA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D453CF">
        <w:rPr>
          <w:color w:val="FF0000"/>
          <w:sz w:val="28"/>
        </w:rPr>
        <w:t>10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644BC2">
        <w:rPr>
          <w:sz w:val="28"/>
        </w:rPr>
        <w:t>Веретенников В.В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 xml:space="preserve">представил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 xml:space="preserve">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D453CF">
        <w:rPr>
          <w:sz w:val="28"/>
        </w:rPr>
        <w:t>Веретенникову В.В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D453CF">
        <w:rPr>
          <w:sz w:val="28"/>
        </w:rPr>
        <w:t>26 марта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, и полученным </w:t>
      </w:r>
      <w:r w:rsidR="00D453CF">
        <w:rPr>
          <w:sz w:val="28"/>
        </w:rPr>
        <w:t xml:space="preserve">26 марта 2025 </w:t>
      </w:r>
      <w:r>
        <w:rPr>
          <w:sz w:val="28"/>
        </w:rPr>
        <w:t xml:space="preserve">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F378AA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 w:rsidR="00F378AA">
        <w:rPr>
          <w:sz w:val="28"/>
        </w:rPr>
        <w:t>от</w:t>
      </w:r>
      <w:r w:rsidR="00E30726">
        <w:rPr>
          <w:sz w:val="28"/>
        </w:rPr>
        <w:t xml:space="preserve">  </w:t>
      </w:r>
      <w:r w:rsidR="00D453CF">
        <w:rPr>
          <w:sz w:val="28"/>
        </w:rPr>
        <w:t>08</w:t>
      </w:r>
      <w:r w:rsidR="00D453CF">
        <w:rPr>
          <w:sz w:val="28"/>
        </w:rPr>
        <w:t xml:space="preserve"> апреля 2025</w:t>
      </w:r>
      <w:r>
        <w:rPr>
          <w:sz w:val="28"/>
        </w:rPr>
        <w:t xml:space="preserve"> года, согласно которого было выявлено, что </w:t>
      </w:r>
      <w:r w:rsidR="00F378AA">
        <w:rPr>
          <w:sz w:val="28"/>
          <w:szCs w:val="28"/>
        </w:rPr>
        <w:t>*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D453CF">
        <w:rPr>
          <w:sz w:val="28"/>
        </w:rPr>
        <w:t>12 мая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F378AA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00854">
        <w:rPr>
          <w:sz w:val="28"/>
        </w:rPr>
        <w:t>Веретенникова В.В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D453CF">
        <w:rPr>
          <w:sz w:val="28"/>
        </w:rPr>
        <w:t xml:space="preserve">Веретенникова Виктора Валерьевича </w:t>
      </w:r>
      <w:r>
        <w:rPr>
          <w:sz w:val="28"/>
        </w:rPr>
        <w:t>признать виновн</w:t>
      </w:r>
      <w:r w:rsidR="004B5DF3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4B5DF3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</w:t>
      </w:r>
      <w:r w:rsidR="00D453CF">
        <w:rPr>
          <w:sz w:val="28"/>
        </w:rPr>
        <w:t>299528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 w:rsidR="00D453CF">
        <w:rPr>
          <w:sz w:val="28"/>
        </w:rPr>
        <w:t>162/2025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F151ED">
        <w:rPr>
          <w:sz w:val="28"/>
        </w:rPr>
        <w:t>0</w:t>
      </w:r>
      <w:r w:rsidR="00D453CF">
        <w:rPr>
          <w:sz w:val="28"/>
        </w:rPr>
        <w:t>06352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BC78A2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378AA">
      <w:rPr>
        <w:noProof/>
      </w:rPr>
      <w:t>4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1912D1"/>
    <w:rsid w:val="001A6022"/>
    <w:rsid w:val="001E3244"/>
    <w:rsid w:val="00251422"/>
    <w:rsid w:val="00270DAA"/>
    <w:rsid w:val="0029091E"/>
    <w:rsid w:val="0034189C"/>
    <w:rsid w:val="00362DB7"/>
    <w:rsid w:val="003F580E"/>
    <w:rsid w:val="00480D04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018FD"/>
    <w:rsid w:val="00624316"/>
    <w:rsid w:val="00644BC2"/>
    <w:rsid w:val="00675A84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925CE"/>
    <w:rsid w:val="009C0AAD"/>
    <w:rsid w:val="009D6339"/>
    <w:rsid w:val="009E0713"/>
    <w:rsid w:val="009E34E1"/>
    <w:rsid w:val="00A8006E"/>
    <w:rsid w:val="00A9287F"/>
    <w:rsid w:val="00AD31C5"/>
    <w:rsid w:val="00B30A32"/>
    <w:rsid w:val="00BC017C"/>
    <w:rsid w:val="00BC78A2"/>
    <w:rsid w:val="00CB7044"/>
    <w:rsid w:val="00D20028"/>
    <w:rsid w:val="00D453CF"/>
    <w:rsid w:val="00D6376E"/>
    <w:rsid w:val="00D839B8"/>
    <w:rsid w:val="00D9428F"/>
    <w:rsid w:val="00DC3EEE"/>
    <w:rsid w:val="00DC60F3"/>
    <w:rsid w:val="00DE3736"/>
    <w:rsid w:val="00E03759"/>
    <w:rsid w:val="00E30726"/>
    <w:rsid w:val="00E569A5"/>
    <w:rsid w:val="00EA5F6D"/>
    <w:rsid w:val="00EC783F"/>
    <w:rsid w:val="00F00854"/>
    <w:rsid w:val="00F151ED"/>
    <w:rsid w:val="00F378AA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F482-38EF-444C-93C6-6F257D59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